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w:t>
      </w:r>
      <w:r>
        <w:rPr>
          <w:rFonts w:hint="eastAsia" w:ascii="Arial" w:hAnsi="Arial" w:eastAsia="宋体" w:cs="Times New Roman"/>
          <w:b/>
          <w:bCs/>
          <w:sz w:val="24"/>
          <w:szCs w:val="24"/>
          <w:lang w:val="en-US" w:eastAsia="zh-CN"/>
        </w:rPr>
        <w:t>41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test cases for BWP switching delay and interruptions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7.1.6.3.7</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During the meeting, whether to define test cases for some of the scenarios of BWP switching was discussed. Companies had different views on the scope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60"/>
              <w:ind w:left="852" w:hanging="85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3-3-8: BWP Switching delay</w:t>
            </w:r>
          </w:p>
          <w:p>
            <w:pPr>
              <w:spacing w:after="120" w:line="259" w:lineRule="auto"/>
              <w:rPr>
                <w:i/>
                <w:iCs/>
                <w:color w:val="C55A11" w:themeColor="accent2" w:themeShade="BF"/>
                <w:lang w:eastAsia="zh-CN"/>
              </w:rPr>
            </w:pPr>
            <w:r>
              <w:rPr>
                <w:i/>
                <w:iCs/>
                <w:color w:val="C55A11" w:themeColor="accent2" w:themeShade="BF"/>
                <w:lang w:eastAsia="zh-CN"/>
              </w:rPr>
              <w:t xml:space="preserve">For BWP Switching delay, RAN4 to specify at least the following test cases: </w:t>
            </w:r>
          </w:p>
          <w:p>
            <w:pPr>
              <w:spacing w:after="60"/>
              <w:ind w:left="852" w:hanging="852"/>
              <w:rPr>
                <w:i/>
                <w:iCs/>
                <w:color w:val="C55A11" w:themeColor="accent2" w:themeShade="BF"/>
                <w:lang w:eastAsia="zh-CN"/>
              </w:rPr>
            </w:pPr>
            <w:r>
              <w:rPr>
                <w:i/>
                <w:iCs/>
                <w:color w:val="C55A11" w:themeColor="accent2" w:themeShade="BF"/>
                <w:lang w:eastAsia="zh-CN"/>
              </w:rPr>
              <w:t>1.</w:t>
            </w:r>
            <w:r>
              <w:rPr>
                <w:i/>
                <w:iCs/>
                <w:color w:val="C55A11" w:themeColor="accent2" w:themeShade="BF"/>
                <w:lang w:eastAsia="zh-CN"/>
              </w:rPr>
              <w:tab/>
            </w:r>
            <w:r>
              <w:rPr>
                <w:i/>
                <w:iCs/>
                <w:color w:val="C55A11" w:themeColor="accent2" w:themeShade="BF"/>
                <w:lang w:eastAsia="zh-CN"/>
              </w:rPr>
              <w:t>E-UTRAN – NR-U PSCell UL active BWP switch based on persistent UL LBT failure</w:t>
            </w:r>
          </w:p>
          <w:p>
            <w:pPr>
              <w:spacing w:after="60"/>
              <w:ind w:left="852" w:hanging="852"/>
              <w:rPr>
                <w:i/>
                <w:iCs/>
                <w:color w:val="C55A11" w:themeColor="accent2" w:themeShade="BF"/>
                <w:lang w:eastAsia="zh-CN"/>
              </w:rPr>
            </w:pPr>
            <w:r>
              <w:rPr>
                <w:i/>
                <w:iCs/>
                <w:color w:val="C55A11" w:themeColor="accent2" w:themeShade="BF"/>
                <w:lang w:eastAsia="zh-CN"/>
              </w:rPr>
              <w:t>2.</w:t>
            </w:r>
            <w:r>
              <w:rPr>
                <w:i/>
                <w:iCs/>
                <w:color w:val="C55A11" w:themeColor="accent2" w:themeShade="BF"/>
                <w:lang w:eastAsia="zh-CN"/>
              </w:rPr>
              <w:tab/>
            </w:r>
            <w:r>
              <w:rPr>
                <w:i/>
                <w:iCs/>
                <w:color w:val="C55A11" w:themeColor="accent2" w:themeShade="BF"/>
                <w:lang w:eastAsia="zh-CN"/>
              </w:rPr>
              <w:t>NR-U – NR-U PCell UL active BWP switch based on persistent UL LBT failure</w:t>
            </w:r>
          </w:p>
          <w:p>
            <w:pPr>
              <w:spacing w:after="60"/>
              <w:ind w:left="852" w:hanging="852"/>
              <w:rPr>
                <w:i/>
                <w:iCs/>
                <w:color w:val="000000" w:themeColor="text1"/>
                <w:lang w:eastAsia="zh-CN"/>
                <w14:textFill>
                  <w14:solidFill>
                    <w14:schemeClr w14:val="tx1"/>
                  </w14:solidFill>
                </w14:textFill>
              </w:rPr>
            </w:pPr>
          </w:p>
          <w:p>
            <w:pPr>
              <w:overflowPunct w:val="0"/>
              <w:autoSpaceDE w:val="0"/>
              <w:autoSpaceDN w:val="0"/>
              <w:adjustRightInd w:val="0"/>
              <w:textAlignment w:val="baseline"/>
              <w:rPr>
                <w:rFonts w:eastAsia="Yu Mincho"/>
                <w:i/>
                <w:iCs/>
                <w:lang w:val="en-US" w:eastAsia="zh-CN"/>
              </w:rPr>
            </w:pPr>
            <w:r>
              <w:rPr>
                <w:rFonts w:eastAsia="Yu Mincho"/>
                <w:i/>
                <w:iCs/>
                <w:lang w:val="en-US" w:eastAsia="zh-CN"/>
              </w:rPr>
              <w:t>Other cases discussed in RAN4 97e:</w:t>
            </w:r>
          </w:p>
          <w:p>
            <w:pPr>
              <w:numPr>
                <w:ilvl w:val="0"/>
                <w:numId w:val="6"/>
              </w:numPr>
              <w:spacing w:after="120" w:line="256" w:lineRule="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DCI/timer/RRC-based BWP switching on NR-U SCell, when configured with:</w:t>
            </w:r>
          </w:p>
          <w:p>
            <w:pPr>
              <w:numPr>
                <w:ilvl w:val="1"/>
                <w:numId w:val="6"/>
              </w:numPr>
              <w:spacing w:after="120" w:line="256" w:lineRule="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NR PCC (PCC)</w:t>
            </w:r>
          </w:p>
          <w:p>
            <w:pPr>
              <w:numPr>
                <w:ilvl w:val="1"/>
                <w:numId w:val="6"/>
              </w:numPr>
              <w:spacing w:after="120" w:line="256" w:lineRule="auto"/>
              <w:rPr>
                <w:rFonts w:hint="eastAsia" w:eastAsia="宋体"/>
                <w:sz w:val="22"/>
                <w:szCs w:val="22"/>
                <w:vertAlign w:val="baseline"/>
                <w:lang w:val="en-US" w:eastAsia="zh-CN"/>
              </w:rPr>
            </w:pPr>
            <w:r>
              <w:rPr>
                <w:color w:val="000000" w:themeColor="text1"/>
                <w:lang w:eastAsia="zh-CN"/>
                <w14:textFill>
                  <w14:solidFill>
                    <w14:schemeClr w14:val="tx1"/>
                  </w14:solidFill>
                </w14:textFill>
              </w:rPr>
              <w:t>NR-U PCC</w:t>
            </w:r>
          </w:p>
          <w:p>
            <w:pPr>
              <w:numPr>
                <w:ilvl w:val="1"/>
                <w:numId w:val="6"/>
              </w:numPr>
              <w:spacing w:after="120" w:line="256" w:lineRule="auto"/>
              <w:rPr>
                <w:rFonts w:hint="eastAsia" w:eastAsia="宋体"/>
                <w:sz w:val="22"/>
                <w:szCs w:val="22"/>
                <w:vertAlign w:val="baseline"/>
                <w:lang w:val="en-US" w:eastAsia="zh-CN"/>
              </w:rPr>
            </w:pPr>
            <w:r>
              <w:rPr>
                <w:color w:val="000000" w:themeColor="text1"/>
                <w:lang w:eastAsia="zh-CN"/>
                <w14:textFill>
                  <w14:solidFill>
                    <w14:schemeClr w14:val="tx1"/>
                  </w14:solidFill>
                </w14:textFill>
              </w:rPr>
              <w:t>NR-U PSCC and E-UTRAN PCC (FDD, TDD)</w:t>
            </w:r>
            <w:r>
              <w:rPr>
                <w:sz w:val="24"/>
                <w:szCs w:val="24"/>
                <w:lang w:val="en-US" w:eastAsia="da-DK"/>
              </w:rPr>
              <w:t xml:space="preserve"> </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this topic.</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To guarantee that the UEs can meet all requirements, tests are more promising than analysis. Thus, if we can define test cases for all scenarios corresponding to core requirements that would be ideal. However, considering the resources RAN4 have to ensure a timely completion of the WI, we think it makes sense to omit some of the tests wherever possible.</w:t>
      </w:r>
    </w:p>
    <w:p>
      <w:pPr>
        <w:rPr>
          <w:rFonts w:hint="default" w:eastAsia="宋体"/>
          <w:sz w:val="22"/>
          <w:szCs w:val="22"/>
          <w:lang w:val="en-US" w:eastAsia="zh-CN"/>
        </w:rPr>
      </w:pPr>
      <w:r>
        <w:rPr>
          <w:rFonts w:hint="eastAsia" w:eastAsia="宋体"/>
          <w:sz w:val="22"/>
          <w:szCs w:val="22"/>
          <w:lang w:val="en-US" w:eastAsia="zh-CN"/>
        </w:rPr>
        <w:t>After analyzing the above options, we think that the DCI/timer/RRC-based BWP switching, or, the ones in legacy NR, can be tested only by UEs supporting NR-U SA mode. The other test cases can be de-prioritized.</w:t>
      </w:r>
    </w:p>
    <w:p>
      <w:pPr>
        <w:pStyle w:val="38"/>
        <w:rPr>
          <w:rFonts w:hint="default"/>
          <w:lang w:val="en-US" w:eastAsia="zh-CN"/>
        </w:rPr>
      </w:pPr>
      <w:r>
        <w:rPr>
          <w:rFonts w:hint="eastAsia" w:eastAsia="宋体"/>
          <w:sz w:val="22"/>
          <w:szCs w:val="22"/>
          <w:lang w:val="en-US" w:eastAsia="zh-CN"/>
        </w:rPr>
        <w:t>The DCI/timer/RRC-based BWP switching can be tested only by UEs supporting NR-U SA mode. The other test cases can be de-prioritized.</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bookmarkStart w:id="4" w:name="_GoBack"/>
      <w:r>
        <w:rPr>
          <w:rFonts w:hint="eastAsia" w:eastAsia="宋体"/>
          <w:b/>
          <w:bCs/>
          <w:sz w:val="22"/>
          <w:szCs w:val="22"/>
          <w:lang w:val="en-US" w:eastAsia="zh-CN"/>
        </w:rPr>
        <w:t>The DCI/timer/RRC-based BWP switching can be tested only by UEs supporting NR-U SA mode. The other test cases can be de-prioritized.</w:t>
      </w:r>
      <w:bookmarkEnd w:id="4"/>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4F31"/>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12247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5ED28A5"/>
    <w:rsid w:val="16222725"/>
    <w:rsid w:val="162900B5"/>
    <w:rsid w:val="1634239A"/>
    <w:rsid w:val="16394032"/>
    <w:rsid w:val="164F667E"/>
    <w:rsid w:val="165D0583"/>
    <w:rsid w:val="16654289"/>
    <w:rsid w:val="16A74903"/>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EF0797"/>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2A2C83"/>
    <w:rsid w:val="27572E0B"/>
    <w:rsid w:val="2762235C"/>
    <w:rsid w:val="276537E8"/>
    <w:rsid w:val="280C272A"/>
    <w:rsid w:val="28176D87"/>
    <w:rsid w:val="281B6C69"/>
    <w:rsid w:val="284E33F7"/>
    <w:rsid w:val="28686999"/>
    <w:rsid w:val="287A3770"/>
    <w:rsid w:val="28A011E1"/>
    <w:rsid w:val="28C759BF"/>
    <w:rsid w:val="290A138C"/>
    <w:rsid w:val="293606FA"/>
    <w:rsid w:val="29517179"/>
    <w:rsid w:val="29943226"/>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570842"/>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695182"/>
    <w:rsid w:val="40776BAF"/>
    <w:rsid w:val="407921CE"/>
    <w:rsid w:val="40A51EEE"/>
    <w:rsid w:val="40C04FE0"/>
    <w:rsid w:val="41AA7137"/>
    <w:rsid w:val="41EC58FB"/>
    <w:rsid w:val="41F931F1"/>
    <w:rsid w:val="4231331F"/>
    <w:rsid w:val="42381A71"/>
    <w:rsid w:val="426B0C9E"/>
    <w:rsid w:val="42841694"/>
    <w:rsid w:val="429266C7"/>
    <w:rsid w:val="42AF1322"/>
    <w:rsid w:val="42B30ACF"/>
    <w:rsid w:val="42E73C10"/>
    <w:rsid w:val="43321063"/>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70C15"/>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A4319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52AEF"/>
    <w:rsid w:val="69462386"/>
    <w:rsid w:val="695E51BF"/>
    <w:rsid w:val="69C96ADD"/>
    <w:rsid w:val="69DC5A3B"/>
    <w:rsid w:val="69E50464"/>
    <w:rsid w:val="69F347C0"/>
    <w:rsid w:val="6A2F06BE"/>
    <w:rsid w:val="6A7016FE"/>
    <w:rsid w:val="6AFC6812"/>
    <w:rsid w:val="6B5E2EC6"/>
    <w:rsid w:val="6B7575DB"/>
    <w:rsid w:val="6C42065A"/>
    <w:rsid w:val="6C6F44FD"/>
    <w:rsid w:val="6C8E0A83"/>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2021-01-15T12:29:53Z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